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7ED" w:rsidRDefault="001A77ED" w:rsidP="001A77ED">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 uno de agosto del año 2017 dos mil diecisiete. . . . </w:t>
      </w:r>
    </w:p>
    <w:p w:rsidR="001A77ED" w:rsidRDefault="001A77ED" w:rsidP="001A77ED">
      <w:pPr>
        <w:rPr>
          <w:rFonts w:ascii="Calibri" w:hAnsi="Calibri" w:cs="Calibri"/>
          <w:color w:val="767171" w:themeColor="background2" w:themeShade="80"/>
          <w:sz w:val="26"/>
          <w:szCs w:val="26"/>
        </w:rPr>
      </w:pPr>
    </w:p>
    <w:p w:rsidR="001A77ED" w:rsidRDefault="001A77ED" w:rsidP="001A77ED">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0336/2doJAM/2017-JN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 . . . . . . . . . . . . . . . . . . . . . . . </w:t>
      </w:r>
    </w:p>
    <w:p w:rsidR="001A77ED" w:rsidRDefault="001A77ED" w:rsidP="001A77ED">
      <w:pPr>
        <w:pStyle w:val="Textoindependiente"/>
        <w:rPr>
          <w:rFonts w:ascii="Calibri" w:hAnsi="Calibri" w:cs="Calibri"/>
          <w:color w:val="767171" w:themeColor="background2" w:themeShade="80"/>
          <w:sz w:val="26"/>
          <w:szCs w:val="26"/>
        </w:rPr>
      </w:pPr>
    </w:p>
    <w:p w:rsidR="001A77ED" w:rsidRDefault="001A77ED" w:rsidP="001A77ED">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1A77ED" w:rsidRDefault="001A77ED" w:rsidP="001A77ED">
      <w:pPr>
        <w:pStyle w:val="Textoindependiente"/>
        <w:ind w:firstLine="708"/>
        <w:jc w:val="center"/>
        <w:rPr>
          <w:rFonts w:ascii="Calibri" w:hAnsi="Calibri" w:cs="Calibri"/>
          <w:b/>
          <w:bCs/>
          <w:color w:val="767171" w:themeColor="background2" w:themeShade="80"/>
          <w:sz w:val="26"/>
          <w:szCs w:val="26"/>
        </w:rPr>
      </w:pPr>
    </w:p>
    <w:p w:rsidR="001A77ED" w:rsidRDefault="001A77ED" w:rsidP="001A77ED">
      <w:pPr>
        <w:pStyle w:val="Textoindependiente"/>
        <w:rPr>
          <w:rFonts w:ascii="Calibri" w:hAnsi="Calibri" w:cs="Calibri"/>
          <w:b/>
          <w:bCs/>
          <w:color w:val="767171" w:themeColor="background2" w:themeShade="80"/>
          <w:sz w:val="26"/>
          <w:szCs w:val="26"/>
        </w:rPr>
      </w:pPr>
    </w:p>
    <w:p w:rsidR="001A77ED" w:rsidRDefault="001A77ED" w:rsidP="001A77ED">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25 veinticinco de enero del año 2017 dos mil diecisiete, sin que de las constancias de la presente causa administrativa se desprenda lo contrario. . . . . . . . . . . . . . . . . . . . . . . . . . . . . . . . . . . </w:t>
      </w:r>
    </w:p>
    <w:p w:rsidR="001A77ED" w:rsidRDefault="001A77ED" w:rsidP="001A77ED">
      <w:pPr>
        <w:jc w:val="both"/>
        <w:rPr>
          <w:rFonts w:ascii="Calibri" w:hAnsi="Calibri" w:cs="Calibri"/>
          <w:b/>
          <w:i/>
          <w:iCs/>
          <w:color w:val="767171" w:themeColor="background2" w:themeShade="80"/>
          <w:sz w:val="26"/>
          <w:szCs w:val="26"/>
          <w:lang w:val="es-MX"/>
        </w:rPr>
      </w:pPr>
    </w:p>
    <w:p w:rsidR="001A77ED" w:rsidRDefault="001A77ED" w:rsidP="001A77ED">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La existencia del acto impugnado, se encuentra documentada en autos con el original del acta con folio  número 358533 (tres-cinco-ocho-cinco-</w:t>
      </w:r>
    </w:p>
    <w:p w:rsidR="001A77ED" w:rsidRDefault="001A77ED" w:rsidP="001A77ED">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0336/2doJAM/2017-JN</w:t>
      </w:r>
    </w:p>
    <w:p w:rsidR="001A77ED" w:rsidRDefault="001A77ED" w:rsidP="001A77ED">
      <w:pPr>
        <w:jc w:val="right"/>
        <w:rPr>
          <w:rFonts w:ascii="Calibri" w:hAnsi="Calibri" w:cs="Calibri"/>
          <w:b/>
          <w:color w:val="767171" w:themeColor="background2" w:themeShade="80"/>
          <w:sz w:val="26"/>
          <w:szCs w:val="26"/>
        </w:rPr>
      </w:pPr>
    </w:p>
    <w:p w:rsidR="001A77ED" w:rsidRDefault="001A77ED" w:rsidP="001A77ED">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tres-tres), de fecha 25 veinticinco de enero del año 2017 dos mil diecisiete; documento que, admitido como  prueba  a  las  partes (visible a  foja 24 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w:t>
      </w:r>
    </w:p>
    <w:p w:rsidR="001A77ED" w:rsidRDefault="001A77ED" w:rsidP="001A77ED">
      <w:pPr>
        <w:jc w:val="both"/>
        <w:rPr>
          <w:rFonts w:ascii="Calibri" w:hAnsi="Calibri" w:cs="Calibri"/>
          <w:color w:val="767171" w:themeColor="background2" w:themeShade="80"/>
          <w:sz w:val="26"/>
          <w:szCs w:val="26"/>
        </w:rPr>
      </w:pPr>
    </w:p>
    <w:p w:rsidR="001A77ED" w:rsidRDefault="001A77ED" w:rsidP="001A77ED">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1A77ED" w:rsidRDefault="001A77ED" w:rsidP="001A77ED">
      <w:pPr>
        <w:jc w:val="both"/>
        <w:rPr>
          <w:rFonts w:ascii="Calibri" w:hAnsi="Calibri" w:cs="Calibri"/>
          <w:b/>
          <w:bCs/>
          <w:i/>
          <w:iCs/>
          <w:color w:val="767171" w:themeColor="background2" w:themeShade="80"/>
          <w:sz w:val="26"/>
          <w:szCs w:val="26"/>
        </w:rPr>
      </w:pPr>
    </w:p>
    <w:p w:rsidR="001A77ED" w:rsidRDefault="001A77ED" w:rsidP="001A77ED">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 en la presente causa administrativa. . . . . . . . . . . . . . . . . . . . . . . . . . . . . . . . . . . . . . . . . . </w:t>
      </w:r>
    </w:p>
    <w:p w:rsidR="001A77ED" w:rsidRDefault="001A77ED" w:rsidP="001A77ED">
      <w:pPr>
        <w:rPr>
          <w:rFonts w:ascii="Calibri" w:hAnsi="Calibri" w:cs="Calibri"/>
          <w:b/>
          <w:color w:val="767171" w:themeColor="background2" w:themeShade="80"/>
          <w:sz w:val="26"/>
          <w:szCs w:val="26"/>
        </w:rPr>
      </w:pPr>
    </w:p>
    <w:p w:rsidR="001A77ED" w:rsidRDefault="001A77ED" w:rsidP="001A77ED">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1A77ED" w:rsidRDefault="001A77ED" w:rsidP="001A77ED">
      <w:pPr>
        <w:ind w:firstLine="708"/>
        <w:jc w:val="both"/>
        <w:rPr>
          <w:rFonts w:ascii="Calibri" w:hAnsi="Calibri" w:cs="Calibri"/>
          <w:color w:val="767171" w:themeColor="background2" w:themeShade="80"/>
          <w:sz w:val="26"/>
          <w:szCs w:val="26"/>
        </w:rPr>
      </w:pPr>
    </w:p>
    <w:p w:rsidR="001A77ED" w:rsidRDefault="001A77ED" w:rsidP="001A77ED">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el *****, Notario Público número 99 en legal ejercicio en el Partido Judicial de León, Guanajuato, (visible en autos a fojas 5 cinco 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a nombre de dicha Sociedad Mercantil. . . . . . . . . . . . . . .</w:t>
      </w:r>
      <w:r>
        <w:rPr>
          <w:rFonts w:ascii="Calibri" w:hAnsi="Calibri" w:cs="Calibri"/>
          <w:color w:val="767171" w:themeColor="background2" w:themeShade="80"/>
          <w:sz w:val="26"/>
          <w:szCs w:val="26"/>
        </w:rPr>
        <w:t xml:space="preserve"> . . . . . . . . . . . . . . . . . . . . . . . . . . . . . . . . . . . . . . . . . . . . . . </w:t>
      </w:r>
    </w:p>
    <w:p w:rsidR="001A77ED" w:rsidRDefault="001A77ED" w:rsidP="001A77ED">
      <w:pPr>
        <w:jc w:val="both"/>
        <w:rPr>
          <w:rFonts w:ascii="Calibri" w:hAnsi="Calibri" w:cs="Calibri"/>
          <w:b/>
          <w:bCs/>
          <w:i/>
          <w:iCs/>
          <w:color w:val="767171" w:themeColor="background2" w:themeShade="80"/>
          <w:sz w:val="26"/>
          <w:szCs w:val="26"/>
        </w:rPr>
      </w:pPr>
    </w:p>
    <w:p w:rsidR="001A77ED" w:rsidRDefault="001A77ED" w:rsidP="001A77ED">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1A77ED" w:rsidRDefault="001A77ED" w:rsidP="001A77ED">
      <w:pPr>
        <w:jc w:val="both"/>
        <w:rPr>
          <w:rFonts w:ascii="Calibri" w:hAnsi="Calibri" w:cs="Calibri"/>
          <w:b/>
          <w:bCs/>
          <w:i/>
          <w:iCs/>
          <w:color w:val="767171" w:themeColor="background2" w:themeShade="80"/>
          <w:sz w:val="26"/>
          <w:szCs w:val="26"/>
        </w:rPr>
      </w:pPr>
    </w:p>
    <w:p w:rsidR="001A77ED" w:rsidRDefault="001A77ED" w:rsidP="001A77ED">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no afecta los </w:t>
      </w:r>
      <w:r>
        <w:rPr>
          <w:rFonts w:ascii="Calibri" w:hAnsi="Calibri" w:cs="Calibri"/>
          <w:bCs/>
          <w:iCs/>
          <w:color w:val="767171" w:themeColor="background2" w:themeShade="80"/>
          <w:sz w:val="26"/>
          <w:szCs w:val="26"/>
        </w:rPr>
        <w:lastRenderedPageBreak/>
        <w:t xml:space="preserve">intereses jurídicos de la representada del actor; configurándose el supuesto previsto en la fracción I del artículo 261 del Código antedicho. . . . . .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xml:space="preserve">. . . . . </w:t>
      </w:r>
    </w:p>
    <w:p w:rsidR="001A77ED" w:rsidRDefault="001A77ED" w:rsidP="001A77ED">
      <w:pPr>
        <w:pStyle w:val="Sangradetextonormal"/>
        <w:ind w:left="0" w:firstLine="708"/>
        <w:jc w:val="both"/>
        <w:rPr>
          <w:rFonts w:ascii="Calibri" w:hAnsi="Calibri" w:cs="Calibri"/>
          <w:bCs/>
          <w:iCs/>
          <w:color w:val="767171" w:themeColor="background2" w:themeShade="80"/>
          <w:sz w:val="20"/>
          <w:szCs w:val="20"/>
        </w:rPr>
      </w:pPr>
    </w:p>
    <w:p w:rsidR="001A77ED" w:rsidRDefault="001A77ED" w:rsidP="001A77ED">
      <w:pPr>
        <w:pStyle w:val="Textoindependiente"/>
        <w:ind w:firstLine="708"/>
        <w:rPr>
          <w:rFonts w:ascii="Calibri" w:hAnsi="Calibri" w:cs="Calibri"/>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286846161 (dos-ocho-seis-ocho-cuatro-seis-uno-seis-uno) del autobús marca Mercedes Benz, modelo 2003 dos mil tres con placas número 742193-D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 17 diecisiete)-, por lo que no queda duda alguna, que la persona moral denominada </w:t>
      </w:r>
      <w:r>
        <w:rPr>
          <w:rFonts w:ascii="Calibri" w:hAnsi="Calibri" w:cs="Calibri"/>
          <w:i/>
          <w:color w:val="767171" w:themeColor="background2" w:themeShade="80"/>
          <w:sz w:val="26"/>
          <w:szCs w:val="26"/>
        </w:rPr>
        <w:t>*****</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w:t>
      </w:r>
      <w:r>
        <w:rPr>
          <w:rFonts w:ascii="Calibri" w:hAnsi="Calibri" w:cs="Calibri"/>
          <w:color w:val="767171" w:themeColor="background2" w:themeShade="80"/>
          <w:sz w:val="26"/>
          <w:szCs w:val="26"/>
        </w:rPr>
        <w:t xml:space="preserve">. . . . . . . . . . . . . . . . . . . . . . . . . . . . . . . . . . . . </w:t>
      </w:r>
    </w:p>
    <w:p w:rsidR="001A77ED" w:rsidRDefault="001A77ED" w:rsidP="001A77ED">
      <w:pPr>
        <w:pStyle w:val="Sangradetextonormal"/>
        <w:ind w:left="0" w:firstLine="708"/>
        <w:jc w:val="both"/>
        <w:rPr>
          <w:rFonts w:ascii="Calibri" w:hAnsi="Calibri" w:cs="Calibri"/>
          <w:bCs/>
          <w:iCs/>
          <w:color w:val="7F7F7F" w:themeColor="text1" w:themeTint="80"/>
          <w:sz w:val="26"/>
          <w:szCs w:val="26"/>
        </w:rPr>
      </w:pPr>
    </w:p>
    <w:p w:rsidR="001A77ED" w:rsidRDefault="001A77ED" w:rsidP="001A77ED">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67171" w:themeColor="background2" w:themeShade="80"/>
          <w:sz w:val="26"/>
          <w:szCs w:val="26"/>
        </w:rPr>
        <w:t xml:space="preserve">Continuando con el análisis de las causales de improcedencia o sobreseimiento, se aprecia que el enjuiciado también invoca como causal de improcedencia, la prevista en la fracción IV del mencionado artículo 261, por considerar que la demanda no fue presentada en tiempo, lo que no resulta cierto pues la demanda fue presentada dentro del término de Ley tal y como se dejó asentado en el considerando Segundo, a mayor precisión, la demanda fue presentada   al   </w:t>
      </w:r>
      <w:r>
        <w:rPr>
          <w:rFonts w:ascii="Calibri" w:hAnsi="Calibri" w:cs="Calibri"/>
          <w:bCs/>
          <w:iCs/>
          <w:color w:val="767171" w:themeColor="background2" w:themeShade="80"/>
          <w:sz w:val="26"/>
          <w:szCs w:val="26"/>
          <w:u w:val="single"/>
        </w:rPr>
        <w:t>vigésimo séptimo</w:t>
      </w:r>
      <w:r>
        <w:rPr>
          <w:rFonts w:ascii="Calibri" w:hAnsi="Calibri" w:cs="Calibri"/>
          <w:bCs/>
          <w:iCs/>
          <w:color w:val="767171" w:themeColor="background2" w:themeShade="80"/>
          <w:sz w:val="26"/>
          <w:szCs w:val="26"/>
        </w:rPr>
        <w:t xml:space="preserve">  día   siguiente  </w:t>
      </w:r>
      <w:r>
        <w:rPr>
          <w:rFonts w:ascii="Calibri" w:hAnsi="Calibri" w:cs="Calibri"/>
          <w:bCs/>
          <w:iCs/>
          <w:color w:val="FF0000"/>
          <w:sz w:val="26"/>
          <w:szCs w:val="26"/>
        </w:rPr>
        <w:t xml:space="preserve"> </w:t>
      </w:r>
      <w:r>
        <w:rPr>
          <w:rFonts w:ascii="Calibri" w:hAnsi="Calibri" w:cs="Calibri"/>
          <w:bCs/>
          <w:iCs/>
          <w:color w:val="7F7F7F" w:themeColor="text1" w:themeTint="80"/>
          <w:sz w:val="26"/>
          <w:szCs w:val="26"/>
        </w:rPr>
        <w:t xml:space="preserve">al   de  que  surtió   efectos   la </w:t>
      </w:r>
    </w:p>
    <w:p w:rsidR="001A77ED" w:rsidRDefault="001A77ED" w:rsidP="001A77ED">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0336/2doJAM/2017-JN</w:t>
      </w:r>
    </w:p>
    <w:p w:rsidR="001A77ED" w:rsidRDefault="001A77ED" w:rsidP="001A77ED">
      <w:pPr>
        <w:pStyle w:val="Sangradetextonormal"/>
        <w:ind w:left="0"/>
        <w:jc w:val="both"/>
        <w:rPr>
          <w:rFonts w:ascii="Calibri" w:hAnsi="Calibri" w:cs="Calibri"/>
          <w:bCs/>
          <w:iCs/>
          <w:color w:val="7F7F7F" w:themeColor="text1" w:themeTint="80"/>
          <w:sz w:val="26"/>
          <w:szCs w:val="26"/>
        </w:rPr>
      </w:pPr>
    </w:p>
    <w:p w:rsidR="001A77ED" w:rsidRDefault="001A77ED" w:rsidP="001A77ED">
      <w:pPr>
        <w:pStyle w:val="Sangradetextonormal"/>
        <w:ind w:left="0"/>
        <w:jc w:val="both"/>
        <w:rPr>
          <w:rFonts w:ascii="Calibri" w:hAnsi="Calibri" w:cs="Calibri"/>
          <w:bCs/>
          <w:iCs/>
          <w:color w:val="767171" w:themeColor="background2" w:themeShade="80"/>
          <w:sz w:val="26"/>
          <w:szCs w:val="26"/>
        </w:rPr>
      </w:pPr>
      <w:proofErr w:type="gramStart"/>
      <w:r>
        <w:rPr>
          <w:rFonts w:ascii="Calibri" w:hAnsi="Calibri" w:cs="Calibri"/>
          <w:bCs/>
          <w:iCs/>
          <w:color w:val="7F7F7F" w:themeColor="text1" w:themeTint="80"/>
          <w:sz w:val="26"/>
          <w:szCs w:val="26"/>
        </w:rPr>
        <w:t>notificación</w:t>
      </w:r>
      <w:proofErr w:type="gramEnd"/>
      <w:r>
        <w:rPr>
          <w:rFonts w:ascii="Calibri" w:hAnsi="Calibri" w:cs="Calibri"/>
          <w:bCs/>
          <w:iCs/>
          <w:color w:val="7F7F7F" w:themeColor="text1" w:themeTint="80"/>
          <w:sz w:val="26"/>
          <w:szCs w:val="26"/>
        </w:rPr>
        <w:t xml:space="preserve"> del acta controvertida,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w:t>
      </w:r>
      <w:r>
        <w:rPr>
          <w:rFonts w:ascii="Calibri" w:hAnsi="Calibri" w:cs="Calibri"/>
          <w:bCs/>
          <w:iCs/>
          <w:color w:val="767171" w:themeColor="background2" w:themeShade="80"/>
          <w:sz w:val="26"/>
          <w:szCs w:val="26"/>
        </w:rPr>
        <w:t xml:space="preserve">. </w:t>
      </w:r>
      <w:r>
        <w:rPr>
          <w:rFonts w:ascii="Calibri" w:hAnsi="Calibri" w:cs="Calibri"/>
          <w:color w:val="767171" w:themeColor="background2" w:themeShade="80"/>
          <w:sz w:val="26"/>
          <w:szCs w:val="26"/>
        </w:rPr>
        <w:t>. . . . . . . . . . . . . . . . . . . . . . . . . . . . . . . . . . . . . . . . . . . . . . . . . . . . . . . . . . . . . .</w:t>
      </w:r>
    </w:p>
    <w:p w:rsidR="001A77ED" w:rsidRDefault="001A77ED" w:rsidP="001A77ED">
      <w:pPr>
        <w:pStyle w:val="Sangradetextonormal"/>
        <w:ind w:left="0" w:firstLine="708"/>
        <w:jc w:val="both"/>
        <w:rPr>
          <w:rFonts w:ascii="Calibri" w:hAnsi="Calibri" w:cs="Calibri"/>
          <w:bCs/>
          <w:iCs/>
          <w:color w:val="7F7F7F" w:themeColor="text1" w:themeTint="80"/>
          <w:sz w:val="26"/>
          <w:szCs w:val="26"/>
        </w:rPr>
      </w:pPr>
    </w:p>
    <w:p w:rsidR="001A77ED" w:rsidRDefault="001A77ED" w:rsidP="001A77ED">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1A77ED" w:rsidRDefault="001A77ED" w:rsidP="001A77ED">
      <w:pPr>
        <w:pStyle w:val="Sangradetextonormal"/>
        <w:ind w:left="0" w:firstLine="708"/>
        <w:jc w:val="both"/>
        <w:rPr>
          <w:rFonts w:ascii="Calibri" w:hAnsi="Calibri" w:cs="Calibri"/>
          <w:b/>
          <w:bCs/>
          <w:i/>
          <w:iCs/>
          <w:color w:val="767171" w:themeColor="background2" w:themeShade="80"/>
          <w:sz w:val="26"/>
          <w:szCs w:val="26"/>
        </w:rPr>
      </w:pPr>
    </w:p>
    <w:p w:rsidR="001A77ED" w:rsidRDefault="001A77ED" w:rsidP="001A77ED">
      <w:pPr>
        <w:pStyle w:val="Sangradetextonormal"/>
        <w:ind w:left="0"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1A77ED" w:rsidRDefault="001A77ED" w:rsidP="001A77ED">
      <w:pPr>
        <w:ind w:firstLine="708"/>
        <w:jc w:val="both"/>
        <w:rPr>
          <w:rFonts w:ascii="Calibri" w:hAnsi="Calibri" w:cs="Calibri"/>
          <w:color w:val="767171" w:themeColor="background2" w:themeShade="80"/>
          <w:sz w:val="26"/>
          <w:szCs w:val="26"/>
        </w:rPr>
      </w:pPr>
    </w:p>
    <w:p w:rsidR="001A77ED" w:rsidRDefault="001A77ED" w:rsidP="001A77ED">
      <w:pPr>
        <w:ind w:firstLine="708"/>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25 veinticinco de enero del año 2017 dos mil diecisiete, en el lugar que identificó como: </w:t>
      </w:r>
      <w:r>
        <w:rPr>
          <w:rFonts w:ascii="Calibri" w:hAnsi="Calibri" w:cs="Calibri"/>
          <w:i/>
          <w:iCs/>
          <w:color w:val="767171" w:themeColor="background2" w:themeShade="80"/>
          <w:sz w:val="26"/>
          <w:szCs w:val="26"/>
        </w:rPr>
        <w:t xml:space="preserve">“Estación San Juan Bosco”,  </w:t>
      </w:r>
      <w:r>
        <w:rPr>
          <w:rFonts w:ascii="Calibri" w:hAnsi="Calibri" w:cs="Calibri"/>
          <w:color w:val="767171" w:themeColor="background2" w:themeShade="80"/>
          <w:sz w:val="26"/>
          <w:szCs w:val="26"/>
        </w:rPr>
        <w:t xml:space="preserve">levantó el acta de infracción con número 358533 (tres-cinco-ocho-cinco-tres-tres), en la que señaló como concepto de la infracción: </w:t>
      </w:r>
      <w:r>
        <w:rPr>
          <w:rFonts w:ascii="Calibri" w:hAnsi="Calibri" w:cs="Calibri"/>
          <w:i/>
          <w:color w:val="767171" w:themeColor="background2" w:themeShade="80"/>
          <w:sz w:val="26"/>
          <w:szCs w:val="26"/>
        </w:rPr>
        <w:t xml:space="preserve">“Por no cumplir con horarios, rutas, itinerarios y frecuencias autorizadas en la prestación del servicio. (Al momento de realizar los primeros despachos me percato que el autobús LE 921 de la ruta A 65 Ramal sacando su primer despacho a las 06:16 </w:t>
      </w:r>
      <w:proofErr w:type="spellStart"/>
      <w:r>
        <w:rPr>
          <w:rFonts w:ascii="Calibri" w:hAnsi="Calibri" w:cs="Calibri"/>
          <w:i/>
          <w:color w:val="767171" w:themeColor="background2" w:themeShade="80"/>
          <w:sz w:val="26"/>
          <w:szCs w:val="26"/>
        </w:rPr>
        <w:t>hrs</w:t>
      </w:r>
      <w:proofErr w:type="spellEnd"/>
      <w:r>
        <w:rPr>
          <w:rFonts w:ascii="Calibri" w:hAnsi="Calibri" w:cs="Calibri"/>
          <w:i/>
          <w:color w:val="767171" w:themeColor="background2" w:themeShade="80"/>
          <w:sz w:val="26"/>
          <w:szCs w:val="26"/>
        </w:rPr>
        <w:t xml:space="preserve"> debiendo ser a las 05:38 </w:t>
      </w:r>
      <w:proofErr w:type="spellStart"/>
      <w:r>
        <w:rPr>
          <w:rFonts w:ascii="Calibri" w:hAnsi="Calibri" w:cs="Calibri"/>
          <w:i/>
          <w:color w:val="767171" w:themeColor="background2" w:themeShade="80"/>
          <w:sz w:val="26"/>
          <w:szCs w:val="26"/>
        </w:rPr>
        <w:t>hrs</w:t>
      </w:r>
      <w:proofErr w:type="spellEnd"/>
      <w:r>
        <w:rPr>
          <w:rFonts w:ascii="Calibri" w:hAnsi="Calibri" w:cs="Calibri"/>
          <w:i/>
          <w:color w:val="767171" w:themeColor="background2" w:themeShade="80"/>
          <w:sz w:val="26"/>
          <w:szCs w:val="26"/>
        </w:rPr>
        <w:t xml:space="preserve"> sacando tarde 38 minutos en su primera vuelta con usuarios en fila”, </w:t>
      </w: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“Nombre: *****</w:t>
      </w:r>
      <w:r>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domicilio:…”</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 un autobús,</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 . . . . . . </w:t>
      </w:r>
    </w:p>
    <w:p w:rsidR="001A77ED" w:rsidRDefault="001A77ED" w:rsidP="001A77ED">
      <w:pPr>
        <w:ind w:firstLine="708"/>
        <w:jc w:val="both"/>
        <w:rPr>
          <w:rFonts w:ascii="Calibri" w:hAnsi="Calibri" w:cs="Calibri"/>
          <w:iCs/>
          <w:color w:val="767171" w:themeColor="background2" w:themeShade="80"/>
          <w:sz w:val="26"/>
          <w:szCs w:val="26"/>
        </w:rPr>
      </w:pPr>
    </w:p>
    <w:p w:rsidR="001A77ED" w:rsidRDefault="001A77ED" w:rsidP="001A77ED">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lang w:val="es-ES"/>
        </w:rPr>
        <w:t xml:space="preserve">            </w:t>
      </w:r>
      <w:r>
        <w:rPr>
          <w:rFonts w:ascii="Calibri" w:hAnsi="Calibri" w:cs="Calibri"/>
          <w:color w:val="767171" w:themeColor="background2" w:themeShade="80"/>
          <w:sz w:val="26"/>
          <w:szCs w:val="26"/>
        </w:rPr>
        <w:t xml:space="preserve">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 . . . . . . . . . . . . . . . . . . . . . . . . . . . . . . . .</w:t>
      </w:r>
    </w:p>
    <w:p w:rsidR="001A77ED" w:rsidRDefault="001A77ED" w:rsidP="001A77ED">
      <w:pPr>
        <w:pStyle w:val="Textoindependiente"/>
        <w:tabs>
          <w:tab w:val="left" w:pos="3594"/>
        </w:tabs>
        <w:rPr>
          <w:rFonts w:ascii="Calibri" w:hAnsi="Calibri" w:cs="Calibri"/>
          <w:iCs/>
          <w:color w:val="767171" w:themeColor="background2" w:themeShade="80"/>
          <w:sz w:val="26"/>
          <w:szCs w:val="26"/>
        </w:rPr>
      </w:pPr>
    </w:p>
    <w:p w:rsidR="001A77ED" w:rsidRDefault="001A77ED" w:rsidP="001A77ED">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1A77ED" w:rsidRDefault="001A77ED" w:rsidP="001A77ED">
      <w:pPr>
        <w:pStyle w:val="Textoindependiente"/>
        <w:tabs>
          <w:tab w:val="left" w:pos="3594"/>
        </w:tabs>
        <w:rPr>
          <w:rFonts w:ascii="Calibri" w:hAnsi="Calibri" w:cs="Calibri"/>
          <w:iCs/>
          <w:color w:val="767171" w:themeColor="background2" w:themeShade="80"/>
          <w:sz w:val="26"/>
          <w:szCs w:val="26"/>
        </w:rPr>
      </w:pPr>
    </w:p>
    <w:p w:rsidR="001A77ED" w:rsidRDefault="001A77ED" w:rsidP="001A77ED">
      <w:pPr>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358533 (tres-cinco-ocho-cinco-tres-tres), de fecha 25 veinticinco de enero del 2017 dos mil diecisiete, además de establecer la procedencia o improcedencia </w:t>
      </w:r>
      <w:r>
        <w:rPr>
          <w:rFonts w:ascii="Calibri" w:hAnsi="Calibri" w:cs="Calibri"/>
          <w:color w:val="7F7F7F" w:themeColor="text1" w:themeTint="80"/>
          <w:sz w:val="26"/>
          <w:szCs w:val="26"/>
        </w:rPr>
        <w:t>de sus pretensiones</w:t>
      </w:r>
      <w:r>
        <w:rPr>
          <w:rFonts w:ascii="Calibri" w:hAnsi="Calibri" w:cs="Calibri"/>
          <w:iCs/>
          <w:color w:val="767171" w:themeColor="background2" w:themeShade="80"/>
          <w:sz w:val="26"/>
          <w:szCs w:val="26"/>
        </w:rPr>
        <w:t xml:space="preserve">.  . . . . </w:t>
      </w:r>
    </w:p>
    <w:p w:rsidR="001A77ED" w:rsidRDefault="001A77ED" w:rsidP="001A77ED">
      <w:pPr>
        <w:jc w:val="both"/>
        <w:rPr>
          <w:color w:val="767171" w:themeColor="background2" w:themeShade="80"/>
          <w:sz w:val="22"/>
        </w:rPr>
      </w:pPr>
    </w:p>
    <w:p w:rsidR="001A77ED" w:rsidRDefault="001A77ED" w:rsidP="001A77ED">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w:t>
      </w:r>
      <w:r>
        <w:rPr>
          <w:rFonts w:ascii="Calibri" w:hAnsi="Calibri"/>
          <w:color w:val="767171" w:themeColor="background2" w:themeShade="80"/>
          <w:sz w:val="26"/>
        </w:rPr>
        <w:lastRenderedPageBreak/>
        <w:t xml:space="preserve">conceptos de impugnación de su escrito de demanda; sin necesidad de transcribirlo en su totalidad, sirviendo para ello el criterio sostenido por el Tribunal Colegiado de Circuito, mencionado en la siguiente Jurisprudencia: </w:t>
      </w:r>
    </w:p>
    <w:p w:rsidR="001A77ED" w:rsidRDefault="001A77ED" w:rsidP="001A77ED">
      <w:pPr>
        <w:ind w:firstLine="708"/>
        <w:jc w:val="both"/>
        <w:rPr>
          <w:color w:val="767171" w:themeColor="background2" w:themeShade="80"/>
          <w:lang w:val="es-MX"/>
        </w:rPr>
      </w:pPr>
    </w:p>
    <w:p w:rsidR="001A77ED" w:rsidRDefault="001A77ED" w:rsidP="001A77ED">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1A77ED" w:rsidRDefault="001A77ED" w:rsidP="001A77ED">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1A77ED" w:rsidRDefault="001A77ED" w:rsidP="001A77ED">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xml:space="preserve">.- ……Agravia a mi representada </w:t>
      </w:r>
      <w:r>
        <w:rPr>
          <w:rFonts w:ascii="Calibri" w:hAnsi="Calibri" w:cs="Calibri"/>
          <w:b/>
          <w:i/>
          <w:color w:val="767171" w:themeColor="background2" w:themeShade="80"/>
          <w:sz w:val="26"/>
          <w:szCs w:val="26"/>
        </w:rPr>
        <w:t>LA</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INSUFICIENTE</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MOTIVACIÓN Y FUNDAMENTACIÓN</w:t>
      </w:r>
      <w:r>
        <w:rPr>
          <w:rFonts w:ascii="Calibri" w:hAnsi="Calibri" w:cs="Calibri"/>
          <w:i/>
          <w:color w:val="767171" w:themeColor="background2" w:themeShade="80"/>
          <w:sz w:val="26"/>
          <w:szCs w:val="26"/>
        </w:rPr>
        <w:t>……..al elaborar la infracción…. toda vez que la infracción recurrida…</w:t>
      </w:r>
      <w:r>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cuales son los horarios que le correspondía ejecutar al operador para poder determinar si los incumplió o no, cuales son los horarios, rutas e itinerarios que corresponde realizar a cada ruta, empresa y operador para determinar si se contravino lo señalado en el artículo 206 del Reglamento de Transporte citado como infringido. </w:t>
      </w:r>
      <w:r>
        <w:rPr>
          <w:rFonts w:ascii="Calibri" w:hAnsi="Calibri"/>
          <w:color w:val="767171" w:themeColor="background2" w:themeShade="80"/>
          <w:sz w:val="26"/>
        </w:rPr>
        <w:t xml:space="preserve">. . . . . . . . . . . . </w:t>
      </w:r>
    </w:p>
    <w:p w:rsidR="001A77ED" w:rsidRDefault="001A77ED" w:rsidP="001A77ED">
      <w:pPr>
        <w:jc w:val="both"/>
        <w:rPr>
          <w:rFonts w:ascii="Calibri" w:hAnsi="Calibri" w:cs="Calibri"/>
          <w:iCs/>
          <w:color w:val="AEAAAA" w:themeColor="background2" w:themeShade="BF"/>
          <w:sz w:val="26"/>
          <w:szCs w:val="26"/>
        </w:rPr>
      </w:pPr>
    </w:p>
    <w:p w:rsidR="001A77ED" w:rsidRDefault="001A77ED" w:rsidP="001A77ED">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1A77ED" w:rsidRDefault="001A77ED" w:rsidP="001A77ED">
      <w:pPr>
        <w:jc w:val="both"/>
        <w:rPr>
          <w:rFonts w:ascii="Calibri" w:hAnsi="Calibri" w:cs="Calibri"/>
          <w:bCs/>
          <w:color w:val="AEAAAA" w:themeColor="background2" w:themeShade="BF"/>
          <w:sz w:val="26"/>
          <w:szCs w:val="26"/>
        </w:rPr>
      </w:pPr>
    </w:p>
    <w:p w:rsidR="001A77ED" w:rsidRDefault="001A77ED" w:rsidP="001A77E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358533 (tres-cinco-ocho-cinco-tres-tres), de fecha 25 veinticinco de enero del 2017 dos mil diecisiete,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w:t>
      </w:r>
    </w:p>
    <w:p w:rsidR="001A77ED" w:rsidRDefault="001A77ED" w:rsidP="001A77ED">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lastRenderedPageBreak/>
        <w:t>Expediente número 0336/2doJAM/2017-JN</w:t>
      </w:r>
    </w:p>
    <w:p w:rsidR="001A77ED" w:rsidRDefault="001A77ED" w:rsidP="001A77E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1A77ED" w:rsidRDefault="001A77ED" w:rsidP="001A77E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Pr>
          <w:rFonts w:ascii="Calibri" w:hAnsi="Calibri" w:cs="Calibri"/>
          <w:bCs/>
          <w:color w:val="767171" w:themeColor="background2" w:themeShade="80"/>
          <w:sz w:val="26"/>
          <w:szCs w:val="26"/>
        </w:rPr>
        <w:t xml:space="preserve">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w:t>
      </w:r>
    </w:p>
    <w:p w:rsidR="001A77ED" w:rsidRDefault="001A77ED" w:rsidP="001A77ED">
      <w:pPr>
        <w:jc w:val="both"/>
        <w:rPr>
          <w:rFonts w:ascii="Calibri" w:hAnsi="Calibri" w:cs="Calibri"/>
          <w:bCs/>
          <w:color w:val="767171" w:themeColor="background2" w:themeShade="80"/>
          <w:sz w:val="26"/>
          <w:szCs w:val="26"/>
        </w:rPr>
      </w:pPr>
    </w:p>
    <w:p w:rsidR="001A77ED" w:rsidRDefault="001A77ED" w:rsidP="001A77ED">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“despachos” y “ramal”</w:t>
      </w:r>
      <w:r>
        <w:rPr>
          <w:rFonts w:ascii="Calibri" w:hAnsi="Calibri" w:cs="Calibri"/>
          <w:bCs/>
          <w:i/>
          <w:color w:val="767171" w:themeColor="background2" w:themeShade="80"/>
          <w:sz w:val="26"/>
          <w:szCs w:val="26"/>
        </w:rPr>
        <w:t xml:space="preserve">,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 . . . . . . . . . . . . . . . . </w:t>
      </w:r>
    </w:p>
    <w:p w:rsidR="001A77ED" w:rsidRDefault="001A77ED" w:rsidP="001A77ED">
      <w:pPr>
        <w:ind w:firstLine="708"/>
        <w:jc w:val="both"/>
        <w:rPr>
          <w:rFonts w:ascii="Calibri" w:hAnsi="Calibri"/>
          <w:color w:val="7F7F7F" w:themeColor="text1" w:themeTint="80"/>
          <w:sz w:val="26"/>
          <w:szCs w:val="26"/>
        </w:rPr>
      </w:pPr>
    </w:p>
    <w:p w:rsidR="001A77ED" w:rsidRDefault="001A77ED" w:rsidP="001A77ED">
      <w:pPr>
        <w:ind w:firstLine="708"/>
        <w:jc w:val="both"/>
        <w:rPr>
          <w:rFonts w:ascii="Calibri" w:hAnsi="Calibri" w:cs="Calibri"/>
          <w:bCs/>
          <w:color w:val="767171" w:themeColor="background2" w:themeShade="80"/>
          <w:sz w:val="26"/>
          <w:szCs w:val="26"/>
        </w:rPr>
      </w:pPr>
      <w:r>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 circunstancia, en especial, con los usuarios, etcétera,</w:t>
      </w:r>
      <w:r>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Pr>
          <w:rFonts w:ascii="Calibri" w:hAnsi="Calibri"/>
          <w:color w:val="767171" w:themeColor="background2" w:themeShade="80"/>
          <w:sz w:val="26"/>
        </w:rPr>
        <w:t xml:space="preserve">. . . . . . . . . . . . . . . . . . . </w:t>
      </w:r>
      <w:r>
        <w:rPr>
          <w:rFonts w:ascii="Calibri" w:hAnsi="Calibri" w:cs="Calibri"/>
          <w:color w:val="767171" w:themeColor="background2" w:themeShade="80"/>
          <w:sz w:val="26"/>
          <w:szCs w:val="26"/>
        </w:rPr>
        <w:t xml:space="preserve">. . . . . . . . . . . . . </w:t>
      </w:r>
    </w:p>
    <w:p w:rsidR="001A77ED" w:rsidRDefault="001A77ED" w:rsidP="001A77ED">
      <w:pPr>
        <w:ind w:firstLine="708"/>
        <w:jc w:val="both"/>
        <w:rPr>
          <w:rFonts w:ascii="Calibri" w:hAnsi="Calibri" w:cs="Calibri"/>
          <w:bCs/>
          <w:color w:val="767171" w:themeColor="background2" w:themeShade="80"/>
          <w:sz w:val="26"/>
          <w:szCs w:val="26"/>
        </w:rPr>
      </w:pPr>
    </w:p>
    <w:p w:rsidR="001A77ED" w:rsidRDefault="001A77ED" w:rsidP="001A77ED">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358533 (tres-cinco-ocho-cinco-tres-tres),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25 </w:t>
      </w:r>
      <w:r>
        <w:rPr>
          <w:rFonts w:ascii="Calibri" w:hAnsi="Calibri" w:cs="Calibri"/>
          <w:color w:val="767171" w:themeColor="background2" w:themeShade="80"/>
          <w:sz w:val="26"/>
          <w:szCs w:val="26"/>
        </w:rPr>
        <w:t xml:space="preserve">veinticinco de </w:t>
      </w:r>
      <w:r>
        <w:rPr>
          <w:rFonts w:ascii="Calibri" w:hAnsi="Calibri" w:cs="Calibri"/>
          <w:b/>
          <w:color w:val="767171" w:themeColor="background2" w:themeShade="80"/>
          <w:sz w:val="26"/>
          <w:szCs w:val="26"/>
        </w:rPr>
        <w:t xml:space="preserve">enero </w:t>
      </w:r>
      <w:r>
        <w:rPr>
          <w:rFonts w:ascii="Calibri" w:hAnsi="Calibri" w:cs="Calibri"/>
          <w:color w:val="767171" w:themeColor="background2" w:themeShade="80"/>
          <w:sz w:val="26"/>
          <w:szCs w:val="26"/>
        </w:rPr>
        <w:t>del</w:t>
      </w:r>
      <w:r>
        <w:rPr>
          <w:rFonts w:ascii="Calibri" w:hAnsi="Calibri" w:cs="Calibri"/>
          <w:b/>
          <w:color w:val="767171" w:themeColor="background2" w:themeShade="80"/>
          <w:sz w:val="26"/>
          <w:szCs w:val="26"/>
        </w:rPr>
        <w:t xml:space="preserve"> 2017</w:t>
      </w:r>
      <w:r>
        <w:rPr>
          <w:rFonts w:ascii="Calibri" w:hAnsi="Calibri" w:cs="Calibri"/>
          <w:color w:val="767171" w:themeColor="background2" w:themeShade="80"/>
          <w:sz w:val="26"/>
          <w:szCs w:val="26"/>
        </w:rPr>
        <w:t xml:space="preserve"> dos mil diecisiete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w:t>
      </w:r>
      <w:r>
        <w:rPr>
          <w:rFonts w:ascii="Calibri" w:hAnsi="Calibri"/>
          <w:color w:val="767171" w:themeColor="background2" w:themeShade="80"/>
          <w:sz w:val="26"/>
        </w:rPr>
        <w:t xml:space="preserve">. . . . . . . . </w:t>
      </w:r>
    </w:p>
    <w:p w:rsidR="001A77ED" w:rsidRDefault="001A77ED" w:rsidP="001A77ED">
      <w:pPr>
        <w:jc w:val="both"/>
        <w:rPr>
          <w:rFonts w:ascii="Calibri" w:hAnsi="Calibri" w:cs="Calibri"/>
          <w:color w:val="767171" w:themeColor="background2" w:themeShade="80"/>
          <w:sz w:val="26"/>
          <w:szCs w:val="26"/>
        </w:rPr>
      </w:pPr>
    </w:p>
    <w:p w:rsidR="001A77ED" w:rsidRDefault="001A77ED" w:rsidP="001A77ED">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1A77ED" w:rsidRDefault="001A77ED" w:rsidP="001A77ED">
      <w:pPr>
        <w:pStyle w:val="Textoindependiente"/>
        <w:rPr>
          <w:rFonts w:ascii="Calibri" w:hAnsi="Calibri" w:cs="Arial"/>
          <w:color w:val="767171" w:themeColor="background2" w:themeShade="80"/>
          <w:sz w:val="20"/>
          <w:szCs w:val="27"/>
          <w:lang w:val="es-ES"/>
        </w:rPr>
      </w:pPr>
    </w:p>
    <w:p w:rsidR="001A77ED" w:rsidRDefault="001A77ED" w:rsidP="001A77ED">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lastRenderedPageBreak/>
        <w:t xml:space="preserve">Sirve de apoyo a lo anterior la tesis de jurisprudencia que a la letra señala: </w:t>
      </w:r>
    </w:p>
    <w:p w:rsidR="001A77ED" w:rsidRDefault="001A77ED" w:rsidP="001A77ED">
      <w:pPr>
        <w:pStyle w:val="Textoindependiente"/>
        <w:rPr>
          <w:rFonts w:ascii="Calibri" w:hAnsi="Calibri"/>
          <w:b/>
          <w:bCs/>
          <w:i/>
          <w:iCs/>
          <w:color w:val="767171" w:themeColor="background2" w:themeShade="80"/>
          <w:sz w:val="26"/>
          <w:szCs w:val="27"/>
        </w:rPr>
      </w:pPr>
    </w:p>
    <w:p w:rsidR="001A77ED" w:rsidRDefault="001A77ED" w:rsidP="001A77ED">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1A77ED" w:rsidRDefault="001A77ED" w:rsidP="001A77ED">
      <w:pPr>
        <w:pStyle w:val="Textoindependiente"/>
        <w:ind w:firstLine="708"/>
        <w:rPr>
          <w:rFonts w:ascii="Calibri" w:hAnsi="Calibri"/>
          <w:b/>
          <w:i/>
          <w:color w:val="767171" w:themeColor="background2" w:themeShade="80"/>
          <w:sz w:val="26"/>
        </w:rPr>
      </w:pPr>
    </w:p>
    <w:p w:rsidR="001A77ED" w:rsidRDefault="001A77ED" w:rsidP="001A77ED">
      <w:pPr>
        <w:pStyle w:val="Textoindependiente"/>
        <w:ind w:firstLine="708"/>
        <w:rPr>
          <w:rFonts w:ascii="Calibri" w:hAnsi="Calibri"/>
          <w:color w:val="767171" w:themeColor="background2" w:themeShade="80"/>
          <w:sz w:val="26"/>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bCs/>
          <w:color w:val="767171" w:themeColor="background2" w:themeShade="80"/>
          <w:sz w:val="26"/>
          <w:szCs w:val="26"/>
        </w:rPr>
        <w:t xml:space="preserve">. . . . . . . . . . . . . . . . . . . . . . . . . . . . . . . . . . . . . . </w:t>
      </w:r>
      <w:r>
        <w:rPr>
          <w:rFonts w:ascii="Calibri" w:hAnsi="Calibri"/>
          <w:color w:val="767171" w:themeColor="background2" w:themeShade="80"/>
          <w:sz w:val="26"/>
        </w:rPr>
        <w:t xml:space="preserve">. . . . </w:t>
      </w:r>
    </w:p>
    <w:p w:rsidR="001A77ED" w:rsidRDefault="001A77ED" w:rsidP="001A77ED">
      <w:pPr>
        <w:pStyle w:val="Textoindependiente"/>
        <w:ind w:firstLine="708"/>
        <w:rPr>
          <w:rFonts w:ascii="Calibri" w:hAnsi="Calibri" w:cs="Arial"/>
          <w:color w:val="767171" w:themeColor="background2" w:themeShade="80"/>
          <w:sz w:val="26"/>
          <w:szCs w:val="27"/>
        </w:rPr>
      </w:pPr>
    </w:p>
    <w:p w:rsidR="001A77ED" w:rsidRDefault="001A77ED" w:rsidP="001A77ED">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w:t>
      </w:r>
      <w:r>
        <w:rPr>
          <w:rFonts w:ascii="Calibri" w:hAnsi="Calibri" w:cs="Calibri"/>
          <w:color w:val="767171" w:themeColor="background2" w:themeShade="80"/>
          <w:sz w:val="26"/>
          <w:szCs w:val="26"/>
        </w:rPr>
        <w:t xml:space="preserve">. . . . . . . . . . . . . . . . . . . . . . . . . . . . . . . . . . . . . . . . . . . . . . . </w:t>
      </w:r>
    </w:p>
    <w:p w:rsidR="001A77ED" w:rsidRDefault="001A77ED" w:rsidP="001A77ED">
      <w:pPr>
        <w:pStyle w:val="Textoindependiente"/>
        <w:ind w:firstLine="708"/>
        <w:rPr>
          <w:rFonts w:ascii="Calibri" w:hAnsi="Calibri"/>
          <w:color w:val="767171" w:themeColor="background2" w:themeShade="80"/>
          <w:sz w:val="20"/>
          <w:szCs w:val="20"/>
          <w:lang w:val="es-ES"/>
        </w:rPr>
      </w:pPr>
    </w:p>
    <w:p w:rsidR="001A77ED" w:rsidRDefault="001A77ED" w:rsidP="001A77ED">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1A77ED" w:rsidRDefault="001A77ED" w:rsidP="001A77ED">
      <w:pPr>
        <w:pStyle w:val="Textoindependiente"/>
        <w:ind w:firstLine="708"/>
        <w:rPr>
          <w:rFonts w:ascii="Calibri" w:hAnsi="Calibri" w:cs="Calibri"/>
          <w:color w:val="767171" w:themeColor="background2" w:themeShade="80"/>
          <w:sz w:val="20"/>
          <w:szCs w:val="20"/>
        </w:rPr>
      </w:pPr>
    </w:p>
    <w:p w:rsidR="001A77ED" w:rsidRDefault="001A77ED" w:rsidP="001A77ED">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1A77ED" w:rsidRDefault="001A77ED" w:rsidP="001A77ED">
      <w:pPr>
        <w:pStyle w:val="Textoindependiente"/>
        <w:rPr>
          <w:rFonts w:ascii="Calibri" w:hAnsi="Calibri" w:cs="Calibri"/>
          <w:color w:val="767171" w:themeColor="background2" w:themeShade="80"/>
          <w:sz w:val="20"/>
          <w:szCs w:val="20"/>
        </w:rPr>
      </w:pPr>
    </w:p>
    <w:p w:rsidR="001A77ED" w:rsidRDefault="001A77ED" w:rsidP="001A77ED">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1A77ED" w:rsidRDefault="001A77ED" w:rsidP="001A77ED">
      <w:pPr>
        <w:pStyle w:val="Textoindependiente"/>
        <w:ind w:firstLine="708"/>
        <w:rPr>
          <w:rFonts w:ascii="Calibri" w:hAnsi="Calibri" w:cs="Calibri"/>
          <w:color w:val="767171" w:themeColor="background2" w:themeShade="80"/>
          <w:sz w:val="20"/>
          <w:szCs w:val="20"/>
        </w:rPr>
      </w:pPr>
    </w:p>
    <w:p w:rsidR="001A77ED" w:rsidRDefault="001A77ED" w:rsidP="001A77ED">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1A77ED" w:rsidRDefault="001A77ED" w:rsidP="001A77ED">
      <w:pPr>
        <w:pStyle w:val="Textoindependiente"/>
        <w:ind w:firstLine="708"/>
        <w:rPr>
          <w:rFonts w:ascii="Calibri" w:hAnsi="Calibri" w:cs="Calibri"/>
          <w:bCs/>
          <w:iCs/>
          <w:color w:val="767171" w:themeColor="background2" w:themeShade="80"/>
          <w:sz w:val="20"/>
          <w:szCs w:val="20"/>
        </w:rPr>
      </w:pPr>
    </w:p>
    <w:p w:rsidR="001A77ED" w:rsidRDefault="001A77ED" w:rsidP="001A77ED">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 xml:space="preserve">358533 (tres-cinco-ocho-cinco-tres-tres), </w:t>
      </w:r>
      <w:r>
        <w:rPr>
          <w:rFonts w:ascii="Calibri" w:hAnsi="Calibri" w:cs="Calibri"/>
          <w:color w:val="767171" w:themeColor="background2" w:themeShade="80"/>
          <w:sz w:val="26"/>
          <w:szCs w:val="26"/>
        </w:rPr>
        <w:t xml:space="preserve">de fecha </w:t>
      </w:r>
      <w:r>
        <w:rPr>
          <w:rFonts w:ascii="Calibri" w:hAnsi="Calibri" w:cs="Calibri"/>
          <w:b/>
          <w:color w:val="767171" w:themeColor="background2" w:themeShade="80"/>
          <w:sz w:val="26"/>
          <w:szCs w:val="26"/>
        </w:rPr>
        <w:t>25</w:t>
      </w:r>
      <w:r>
        <w:rPr>
          <w:rFonts w:ascii="Calibri" w:hAnsi="Calibri" w:cs="Calibri"/>
          <w:color w:val="767171" w:themeColor="background2" w:themeShade="80"/>
          <w:sz w:val="26"/>
          <w:szCs w:val="26"/>
        </w:rPr>
        <w:t xml:space="preserve"> veinticinco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w:t>
      </w:r>
    </w:p>
    <w:p w:rsidR="001A77ED" w:rsidRDefault="001A77ED" w:rsidP="001A77ED">
      <w:pPr>
        <w:ind w:firstLine="708"/>
        <w:jc w:val="both"/>
        <w:rPr>
          <w:rFonts w:ascii="Calibri" w:hAnsi="Calibri" w:cs="Calibri"/>
          <w:b/>
          <w:bCs/>
          <w:i/>
          <w:iCs/>
          <w:color w:val="767171" w:themeColor="background2" w:themeShade="80"/>
          <w:sz w:val="20"/>
          <w:szCs w:val="20"/>
        </w:rPr>
      </w:pPr>
    </w:p>
    <w:p w:rsidR="001A77ED" w:rsidRDefault="001A77ED" w:rsidP="001A77ED">
      <w:pPr>
        <w:ind w:firstLine="708"/>
        <w:jc w:val="both"/>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b/>
          <w:color w:val="767171" w:themeColor="background2" w:themeShade="80"/>
          <w:sz w:val="26"/>
        </w:rPr>
        <w:t xml:space="preserve">, </w:t>
      </w:r>
      <w:r>
        <w:rPr>
          <w:rFonts w:ascii="Calibri" w:hAnsi="Calibri"/>
          <w:color w:val="767171" w:themeColor="background2" w:themeShade="80"/>
          <w:sz w:val="26"/>
        </w:rPr>
        <w:t xml:space="preserve">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w:t>
      </w:r>
      <w:r>
        <w:rPr>
          <w:rFonts w:ascii="Calibri" w:hAnsi="Calibri"/>
          <w:color w:val="767171" w:themeColor="background2" w:themeShade="80"/>
          <w:sz w:val="26"/>
        </w:rPr>
        <w:t xml:space="preserve">a lo argumentado en el considerando Noveno de esta misma resolución . . . . . . . . </w:t>
      </w:r>
      <w:r>
        <w:rPr>
          <w:rFonts w:ascii="Calibri" w:hAnsi="Calibri" w:cs="Calibri"/>
          <w:color w:val="767171" w:themeColor="background2" w:themeShade="80"/>
          <w:sz w:val="26"/>
          <w:szCs w:val="26"/>
        </w:rPr>
        <w:t xml:space="preserve">. . . . . . . . . . . . . . . . . . . . . . . . . . . . . . . . . . . . . . . . . . . . . . . . . . . . </w:t>
      </w:r>
    </w:p>
    <w:p w:rsidR="001A77ED" w:rsidRDefault="001A77ED" w:rsidP="001A77ED">
      <w:pPr>
        <w:ind w:firstLine="708"/>
        <w:jc w:val="both"/>
        <w:rPr>
          <w:rFonts w:ascii="Calibri" w:hAnsi="Calibri" w:cs="Calibri"/>
          <w:b/>
          <w:color w:val="767171" w:themeColor="background2" w:themeShade="80"/>
          <w:sz w:val="20"/>
          <w:szCs w:val="20"/>
        </w:rPr>
      </w:pPr>
    </w:p>
    <w:p w:rsidR="001A77ED" w:rsidRDefault="001A77ED" w:rsidP="001A77ED">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0336/2doJAM/2017-JN</w:t>
      </w:r>
    </w:p>
    <w:p w:rsidR="001A77ED" w:rsidRDefault="001A77ED" w:rsidP="001A77ED">
      <w:pPr>
        <w:ind w:firstLine="708"/>
        <w:jc w:val="both"/>
        <w:rPr>
          <w:rFonts w:ascii="Calibri" w:hAnsi="Calibri" w:cs="Calibri"/>
          <w:b/>
          <w:color w:val="767171" w:themeColor="background2" w:themeShade="80"/>
          <w:sz w:val="26"/>
          <w:szCs w:val="26"/>
        </w:rPr>
      </w:pPr>
    </w:p>
    <w:p w:rsidR="001A77ED" w:rsidRDefault="001A77ED" w:rsidP="001A77ED">
      <w:pPr>
        <w:ind w:firstLine="708"/>
        <w:jc w:val="both"/>
        <w:rPr>
          <w:rFonts w:ascii="Calibri" w:hAnsi="Calibri" w:cs="Calibri"/>
          <w:b/>
          <w:bCs/>
          <w:i/>
          <w:iCs/>
          <w:color w:val="767171" w:themeColor="background2" w:themeShade="80"/>
          <w:sz w:val="26"/>
          <w:szCs w:val="26"/>
        </w:rPr>
      </w:pPr>
      <w:r>
        <w:rPr>
          <w:rFonts w:ascii="Calibri" w:hAnsi="Calibri" w:cs="Calibri"/>
          <w:b/>
          <w:color w:val="767171" w:themeColor="background2" w:themeShade="80"/>
          <w:sz w:val="26"/>
          <w:szCs w:val="26"/>
        </w:rPr>
        <w:t>Devolución</w:t>
      </w:r>
      <w:r>
        <w:rPr>
          <w:rFonts w:ascii="Calibri" w:hAnsi="Calibri" w:cs="Calibri"/>
          <w:color w:val="767171" w:themeColor="background2" w:themeShade="80"/>
          <w:sz w:val="26"/>
          <w:szCs w:val="26"/>
        </w:rPr>
        <w:t xml:space="preserve"> que se deberá realizar dentro de los </w:t>
      </w:r>
      <w:r>
        <w:rPr>
          <w:rFonts w:ascii="Calibri" w:hAnsi="Calibri" w:cs="Calibri"/>
          <w:b/>
          <w:color w:val="767171" w:themeColor="background2" w:themeShade="80"/>
          <w:sz w:val="26"/>
          <w:szCs w:val="26"/>
        </w:rPr>
        <w:t>15 quince días hábiles</w:t>
      </w:r>
      <w:r>
        <w:rPr>
          <w:rFonts w:ascii="Calibri" w:hAnsi="Calibri" w:cs="Calibri"/>
          <w:color w:val="767171" w:themeColor="background2" w:themeShade="80"/>
          <w:sz w:val="26"/>
          <w:szCs w:val="26"/>
        </w:rPr>
        <w:t xml:space="preserve">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1A77ED" w:rsidRDefault="001A77ED" w:rsidP="001A77ED">
      <w:pPr>
        <w:jc w:val="both"/>
        <w:rPr>
          <w:rFonts w:ascii="Calibri" w:hAnsi="Calibri" w:cs="Calibri"/>
          <w:color w:val="767171" w:themeColor="background2" w:themeShade="80"/>
          <w:sz w:val="20"/>
          <w:szCs w:val="20"/>
        </w:rPr>
      </w:pPr>
    </w:p>
    <w:p w:rsidR="001A77ED" w:rsidRDefault="001A77ED" w:rsidP="001A77ED">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1A77ED" w:rsidRDefault="001A77ED" w:rsidP="001A77ED">
      <w:pPr>
        <w:pStyle w:val="Textoindependiente"/>
        <w:rPr>
          <w:rFonts w:ascii="Calibri" w:hAnsi="Calibri" w:cs="Calibri"/>
          <w:color w:val="767171" w:themeColor="background2" w:themeShade="80"/>
          <w:sz w:val="20"/>
          <w:szCs w:val="20"/>
        </w:rPr>
      </w:pPr>
    </w:p>
    <w:p w:rsidR="001A77ED" w:rsidRDefault="001A77ED" w:rsidP="001A77ED">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1A77ED" w:rsidRDefault="001A77ED" w:rsidP="001A77ED">
      <w:pPr>
        <w:pStyle w:val="Textoindependiente"/>
        <w:rPr>
          <w:rFonts w:ascii="Calibri" w:hAnsi="Calibri" w:cs="Calibri"/>
          <w:color w:val="767171" w:themeColor="background2" w:themeShade="80"/>
          <w:sz w:val="20"/>
          <w:szCs w:val="20"/>
        </w:rPr>
      </w:pPr>
    </w:p>
    <w:p w:rsidR="001A77ED" w:rsidRDefault="001A77ED" w:rsidP="001A77ED">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Juez Segundo Administrativo municipal de León, Guanajuato, quien actúa asistido en forma legal con Secretario de Estudio y Cuenta,</w:t>
      </w:r>
      <w:r>
        <w:rPr>
          <w:rFonts w:ascii="Calibri" w:hAnsi="Calibri" w:cs="Calibri"/>
          <w:color w:val="FF0000"/>
          <w:sz w:val="26"/>
          <w:szCs w:val="26"/>
        </w:rPr>
        <w:t xml:space="preserve"> </w:t>
      </w:r>
      <w:r>
        <w:rPr>
          <w:rFonts w:ascii="Calibri" w:hAnsi="Calibri" w:cs="Calibri"/>
          <w:color w:val="767171" w:themeColor="background2" w:themeShade="80"/>
          <w:sz w:val="26"/>
          <w:szCs w:val="26"/>
        </w:rPr>
        <w:t xml:space="preserve">designado mediante oficio </w:t>
      </w:r>
      <w:r>
        <w:rPr>
          <w:rFonts w:ascii="Calibri" w:hAnsi="Calibri" w:cs="Calibri"/>
          <w:b/>
          <w:color w:val="767171" w:themeColor="background2" w:themeShade="80"/>
          <w:sz w:val="26"/>
          <w:szCs w:val="26"/>
        </w:rPr>
        <w:t>J.S.A.M./055/2017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1A77ED" w:rsidRDefault="001A77ED" w:rsidP="001A77ED">
      <w:pPr>
        <w:pStyle w:val="Textoindependiente"/>
        <w:ind w:firstLine="708"/>
        <w:rPr>
          <w:lang w:val="es-ES"/>
        </w:rPr>
      </w:pPr>
      <w:bookmarkStart w:id="0" w:name="_GoBack"/>
      <w:bookmarkEnd w:id="0"/>
    </w:p>
    <w:p w:rsidR="001A77ED" w:rsidRDefault="001A77ED" w:rsidP="001A77ED">
      <w:pPr>
        <w:pStyle w:val="Textoindependiente"/>
        <w:ind w:firstLine="708"/>
        <w:rPr>
          <w:lang w:val="es-ES"/>
        </w:rPr>
      </w:pPr>
    </w:p>
    <w:p w:rsidR="001A77ED" w:rsidRDefault="001A77ED" w:rsidP="001A77ED">
      <w:pPr>
        <w:pStyle w:val="Textoindependiente"/>
        <w:ind w:firstLine="708"/>
        <w:rPr>
          <w:lang w:val="es-ES"/>
        </w:rPr>
      </w:pPr>
    </w:p>
    <w:p w:rsidR="001A77ED" w:rsidRDefault="001A77ED" w:rsidP="001A77ED">
      <w:pPr>
        <w:pStyle w:val="Textoindependiente"/>
        <w:ind w:firstLine="708"/>
        <w:rPr>
          <w:lang w:val="es-ES"/>
        </w:rPr>
      </w:pPr>
    </w:p>
    <w:p w:rsidR="001A77ED" w:rsidRDefault="001A77ED" w:rsidP="001A77ED">
      <w:pPr>
        <w:pStyle w:val="Textoindependiente"/>
        <w:ind w:firstLine="708"/>
        <w:rPr>
          <w:lang w:val="es-ES"/>
        </w:rPr>
      </w:pPr>
    </w:p>
    <w:p w:rsidR="001A77ED" w:rsidRDefault="001A77ED" w:rsidP="001A77ED">
      <w:pPr>
        <w:pStyle w:val="Textoindependiente"/>
        <w:ind w:firstLine="708"/>
        <w:rPr>
          <w:lang w:val="es-ES"/>
        </w:rPr>
      </w:pPr>
    </w:p>
    <w:p w:rsidR="001A77ED" w:rsidRDefault="001A77ED" w:rsidP="001A77ED">
      <w:pPr>
        <w:pStyle w:val="Textoindependiente"/>
        <w:ind w:firstLine="708"/>
        <w:rPr>
          <w:lang w:val="es-ES"/>
        </w:rPr>
      </w:pPr>
    </w:p>
    <w:p w:rsidR="001A77ED" w:rsidRDefault="001A77ED" w:rsidP="001A77ED">
      <w:pPr>
        <w:pStyle w:val="Textoindependiente"/>
        <w:ind w:firstLine="708"/>
        <w:rPr>
          <w:rFonts w:asciiTheme="minorHAnsi" w:hAnsiTheme="minorHAnsi"/>
          <w:b/>
          <w:iCs/>
          <w:color w:val="767171" w:themeColor="background2" w:themeShade="80"/>
        </w:rPr>
      </w:pPr>
      <w:r>
        <w:rPr>
          <w:rFonts w:asciiTheme="minorHAnsi" w:hAnsiTheme="minorHAnsi"/>
          <w:b/>
          <w:iCs/>
          <w:color w:val="767171" w:themeColor="background2" w:themeShade="80"/>
        </w:rPr>
        <w:t xml:space="preserve">LA PRESENTE FOJA FORMA PARTE DE LA SENTENCIA DICTADA EL DÍA 01 DE AGOSTO DEL AÑO 2017 DOS MIL DIECISIETE, EN EL PROCESO ADMINISTRATIVO CON NÚMERO DE EXPEDIENTE </w:t>
      </w:r>
      <w:r>
        <w:rPr>
          <w:rFonts w:ascii="Calibri" w:hAnsi="Calibri" w:cs="Calibri"/>
          <w:b/>
          <w:color w:val="767171" w:themeColor="background2" w:themeShade="80"/>
          <w:sz w:val="26"/>
          <w:szCs w:val="26"/>
        </w:rPr>
        <w:t>0336</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r>
        <w:rPr>
          <w:rFonts w:asciiTheme="minorHAnsi" w:hAnsiTheme="minorHAnsi"/>
          <w:b/>
          <w:iCs/>
          <w:color w:val="767171" w:themeColor="background2" w:themeShade="80"/>
        </w:rPr>
        <w:t xml:space="preserve">. . . . . . . . . . . . . . . . . . . . . . . . . . . . . . . </w:t>
      </w:r>
    </w:p>
    <w:p w:rsidR="00B237B6" w:rsidRPr="001A77ED" w:rsidRDefault="00B237B6">
      <w:pPr>
        <w:rPr>
          <w:lang w:val="es-MX"/>
        </w:rPr>
      </w:pPr>
    </w:p>
    <w:sectPr w:rsidR="00B237B6" w:rsidRPr="001A77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ED"/>
    <w:rsid w:val="001A77ED"/>
    <w:rsid w:val="00B237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A1462-43AD-4EAF-B2EA-C40390F0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7E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A77ED"/>
    <w:pPr>
      <w:jc w:val="both"/>
    </w:pPr>
    <w:rPr>
      <w:lang w:val="es-MX"/>
    </w:rPr>
  </w:style>
  <w:style w:type="character" w:customStyle="1" w:styleId="TextoindependienteCar">
    <w:name w:val="Texto independiente Car"/>
    <w:basedOn w:val="Fuentedeprrafopredeter"/>
    <w:link w:val="Textoindependiente"/>
    <w:rsid w:val="001A77ED"/>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1A77E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1A77E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3334</Words>
  <Characters>18342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2017-09-01T17:21:00Z</dcterms:created>
  <dcterms:modified xsi:type="dcterms:W3CDTF">2017-09-01T17:22:00Z</dcterms:modified>
</cp:coreProperties>
</file>